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9CF8" w14:textId="4C2C1D5A" w:rsidR="00DE7640" w:rsidRPr="00DE7640" w:rsidRDefault="00DE7640" w:rsidP="00DE7640">
      <w:pPr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</w:pPr>
      <w:r w:rsidRPr="00DE7640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Reading – Food waste: </w:t>
      </w:r>
      <w:r w:rsidRPr="00DE7640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using sustainable innovation to cut down what we throw </w:t>
      </w:r>
      <w:proofErr w:type="gramStart"/>
      <w:r w:rsidRPr="00DE7640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away</w:t>
      </w:r>
      <w:proofErr w:type="gramEnd"/>
    </w:p>
    <w:p w14:paraId="0FD39B88" w14:textId="77777777" w:rsidR="00DE7640" w:rsidRPr="00DE7640" w:rsidRDefault="00DE7640" w:rsidP="00DE7640">
      <w:pPr>
        <w:rPr>
          <w:rFonts w:asciiTheme="minorHAnsi" w:hAnsiTheme="minorHAnsi" w:cstheme="minorHAnsi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842"/>
        <w:gridCol w:w="1701"/>
        <w:gridCol w:w="1701"/>
      </w:tblGrid>
      <w:tr w:rsidR="00DE7640" w:rsidRPr="00DE7640" w14:paraId="1572BB40" w14:textId="77777777" w:rsidTr="00DE7640">
        <w:tc>
          <w:tcPr>
            <w:tcW w:w="1702" w:type="dxa"/>
          </w:tcPr>
          <w:p w14:paraId="4402703F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Case study</w:t>
            </w:r>
          </w:p>
        </w:tc>
        <w:tc>
          <w:tcPr>
            <w:tcW w:w="1559" w:type="dxa"/>
          </w:tcPr>
          <w:p w14:paraId="2C98F170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560" w:type="dxa"/>
          </w:tcPr>
          <w:p w14:paraId="02731348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Sales/profits</w:t>
            </w:r>
          </w:p>
        </w:tc>
        <w:tc>
          <w:tcPr>
            <w:tcW w:w="1842" w:type="dxa"/>
          </w:tcPr>
          <w:p w14:paraId="13B77079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it reduces food waste</w:t>
            </w:r>
          </w:p>
        </w:tc>
        <w:tc>
          <w:tcPr>
            <w:tcW w:w="1701" w:type="dxa"/>
          </w:tcPr>
          <w:p w14:paraId="7F629817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 benefits</w:t>
            </w:r>
          </w:p>
        </w:tc>
        <w:tc>
          <w:tcPr>
            <w:tcW w:w="1701" w:type="dxa"/>
          </w:tcPr>
          <w:p w14:paraId="04719BCD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Sustainability score</w:t>
            </w:r>
          </w:p>
        </w:tc>
      </w:tr>
      <w:tr w:rsidR="00DE7640" w:rsidRPr="00DE7640" w14:paraId="2A58D763" w14:textId="77777777" w:rsidTr="00DE7640">
        <w:tc>
          <w:tcPr>
            <w:tcW w:w="1702" w:type="dxa"/>
          </w:tcPr>
          <w:p w14:paraId="6D864D6E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Rejuce</w:t>
            </w:r>
            <w:proofErr w:type="spellEnd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 – a food waste start-up</w:t>
            </w:r>
          </w:p>
          <w:p w14:paraId="5455643B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2FB3B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Nutritious fruit &amp; vegetable juices and smoothies.</w:t>
            </w:r>
          </w:p>
        </w:tc>
        <w:tc>
          <w:tcPr>
            <w:tcW w:w="1560" w:type="dxa"/>
          </w:tcPr>
          <w:p w14:paraId="069CF16F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100,000 bottles per year.</w:t>
            </w:r>
          </w:p>
        </w:tc>
        <w:tc>
          <w:tcPr>
            <w:tcW w:w="1842" w:type="dxa"/>
          </w:tcPr>
          <w:p w14:paraId="4DE6F17C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It uses edible, but ‘ugly’ or ‘wonky’, fruit and veg that would otherwise be thrown away.</w:t>
            </w:r>
          </w:p>
          <w:p w14:paraId="2FCB0ACC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A0B67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The suppliers eliminate their disposal costs.</w:t>
            </w:r>
          </w:p>
        </w:tc>
        <w:tc>
          <w:tcPr>
            <w:tcW w:w="1701" w:type="dxa"/>
          </w:tcPr>
          <w:p w14:paraId="4E443959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E7640" w:rsidRPr="00DE7640" w14:paraId="75DCF49F" w14:textId="77777777" w:rsidTr="00DE7640">
        <w:tc>
          <w:tcPr>
            <w:tcW w:w="1702" w:type="dxa"/>
          </w:tcPr>
          <w:p w14:paraId="2D4BB274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Toast Ale – a food waste start-up</w:t>
            </w:r>
          </w:p>
          <w:p w14:paraId="4C09DC8A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5E7027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Alcoholic beer (ale and lager).</w:t>
            </w:r>
          </w:p>
          <w:p w14:paraId="0F014FBA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5C57F4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They sell online and in big supermarkets and donate </w:t>
            </w:r>
            <w:proofErr w:type="gramStart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all of</w:t>
            </w:r>
            <w:proofErr w:type="gramEnd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 their profits to charity.</w:t>
            </w:r>
          </w:p>
        </w:tc>
        <w:tc>
          <w:tcPr>
            <w:tcW w:w="1842" w:type="dxa"/>
          </w:tcPr>
          <w:p w14:paraId="31A70D20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It uses waste bread from sandwich manufacturers (around 13,000 slices per day) that would otherwise be thrown away.</w:t>
            </w:r>
          </w:p>
          <w:p w14:paraId="70AF4429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D6DA4D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proofErr w:type="spellStart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byproduct</w:t>
            </w:r>
            <w:proofErr w:type="spellEnd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 of the brewing process is given to local farms to be used as nutritious animal feed.</w:t>
            </w:r>
          </w:p>
        </w:tc>
        <w:tc>
          <w:tcPr>
            <w:tcW w:w="1701" w:type="dxa"/>
          </w:tcPr>
          <w:p w14:paraId="638163C2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E7640" w:rsidRPr="00DE7640" w14:paraId="36CCA047" w14:textId="77777777" w:rsidTr="00DE7640">
        <w:tc>
          <w:tcPr>
            <w:tcW w:w="1702" w:type="dxa"/>
          </w:tcPr>
          <w:p w14:paraId="38A16E39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Wyke Farm – a dairy farm that invests in anaerobic </w:t>
            </w:r>
            <w:proofErr w:type="gramStart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digestion</w:t>
            </w:r>
            <w:proofErr w:type="gramEnd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40E614B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732E4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Renewable energy and gas.</w:t>
            </w:r>
          </w:p>
        </w:tc>
        <w:tc>
          <w:tcPr>
            <w:tcW w:w="1560" w:type="dxa"/>
            <w:shd w:val="clear" w:color="auto" w:fill="E7E6E6" w:themeFill="background2"/>
          </w:tcPr>
          <w:p w14:paraId="4D283AF4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6A9296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The digester facilities break down organic matter including animal waste, and </w:t>
            </w:r>
            <w:proofErr w:type="spellStart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byproducts</w:t>
            </w:r>
            <w:proofErr w:type="spellEnd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 from cheese-making, cider-</w:t>
            </w:r>
            <w:proofErr w:type="gramStart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making</w:t>
            </w:r>
            <w:proofErr w:type="gramEnd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 and baking.</w:t>
            </w:r>
          </w:p>
          <w:p w14:paraId="62864634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The energy is used to power manufacturing sites and fed into the grid to provide clean electricity for the community.</w:t>
            </w:r>
          </w:p>
          <w:p w14:paraId="54401E31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32DD2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Leftover materials are used as fertilisers on the </w:t>
            </w:r>
            <w:proofErr w:type="gramStart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farm, and</w:t>
            </w:r>
            <w:proofErr w:type="gramEnd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 given to local farmers to boost soil fertility.</w:t>
            </w:r>
          </w:p>
        </w:tc>
        <w:tc>
          <w:tcPr>
            <w:tcW w:w="1701" w:type="dxa"/>
          </w:tcPr>
          <w:p w14:paraId="529199F8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DE7640" w:rsidRPr="00DE7640" w14:paraId="766AAC79" w14:textId="77777777" w:rsidTr="00DE7640">
        <w:tc>
          <w:tcPr>
            <w:tcW w:w="1702" w:type="dxa"/>
            <w:shd w:val="clear" w:color="auto" w:fill="E7E6E6" w:themeFill="background2"/>
          </w:tcPr>
          <w:p w14:paraId="632D8DD2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5A69CCF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3DAA424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5D7C4FB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1ACAB19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82CB6B9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7640" w:rsidRPr="00DE7640" w14:paraId="63103E1B" w14:textId="77777777" w:rsidTr="00DE7640">
        <w:tc>
          <w:tcPr>
            <w:tcW w:w="1702" w:type="dxa"/>
            <w:shd w:val="clear" w:color="auto" w:fill="auto"/>
          </w:tcPr>
          <w:p w14:paraId="756792EB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Report by the UK Green Party about </w:t>
            </w: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burning &amp; </w:t>
            </w:r>
            <w:proofErr w:type="gramStart"/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incineration</w:t>
            </w:r>
            <w:proofErr w:type="gramEnd"/>
          </w:p>
          <w:p w14:paraId="217C300B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4BD46A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Problems for the environment</w:t>
            </w:r>
          </w:p>
        </w:tc>
        <w:tc>
          <w:tcPr>
            <w:tcW w:w="1560" w:type="dxa"/>
            <w:shd w:val="clear" w:color="auto" w:fill="auto"/>
          </w:tcPr>
          <w:p w14:paraId="5C20A5BF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much food is burned?</w:t>
            </w:r>
          </w:p>
        </w:tc>
        <w:tc>
          <w:tcPr>
            <w:tcW w:w="1842" w:type="dxa"/>
            <w:shd w:val="clear" w:color="auto" w:fill="auto"/>
          </w:tcPr>
          <w:p w14:paraId="6B8375EA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Arguments against burning &amp; incineration</w:t>
            </w:r>
          </w:p>
        </w:tc>
        <w:tc>
          <w:tcPr>
            <w:tcW w:w="1701" w:type="dxa"/>
            <w:shd w:val="clear" w:color="auto" w:fill="E7E6E6" w:themeFill="background2"/>
          </w:tcPr>
          <w:p w14:paraId="2D4F7092" w14:textId="77777777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9E4D81" w14:textId="614245DE" w:rsidR="00DE7640" w:rsidRPr="00DE7640" w:rsidRDefault="00DE7640" w:rsidP="0016644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Sustainability score</w:t>
            </w:r>
          </w:p>
        </w:tc>
      </w:tr>
      <w:tr w:rsidR="00DE7640" w:rsidRPr="00DE7640" w14:paraId="409592FA" w14:textId="77777777" w:rsidTr="00DE7640">
        <w:tc>
          <w:tcPr>
            <w:tcW w:w="1702" w:type="dxa"/>
          </w:tcPr>
          <w:p w14:paraId="012B6F66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5D4A82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04EBE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Burning food releases CO2 into the atmosphere. Incinerators are not monitored thoroughly for air pollution.</w:t>
            </w:r>
          </w:p>
          <w:p w14:paraId="6ED9BB98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FE97A0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Over 10m tonnes between 2012 and 2017 (almost double what it had been before). </w:t>
            </w:r>
          </w:p>
          <w:p w14:paraId="0F0BB410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07829C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In some places more food is burned than recycled.</w:t>
            </w:r>
          </w:p>
          <w:p w14:paraId="6E2A685F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F2EC36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They are energy- consuming and expensive methods of dealing with food waste.</w:t>
            </w:r>
          </w:p>
          <w:p w14:paraId="615CBC71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61963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Although incineration produces energy it is a waste of resources to burn recyclable or avoidable food waste to produce this energy. It wastes </w:t>
            </w:r>
            <w:proofErr w:type="gramStart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all of</w:t>
            </w:r>
            <w:proofErr w:type="gramEnd"/>
            <w:r w:rsidRPr="00DE7640">
              <w:rPr>
                <w:rFonts w:asciiTheme="minorHAnsi" w:hAnsiTheme="minorHAnsi" w:cstheme="minorHAnsi"/>
                <w:sz w:val="24"/>
                <w:szCs w:val="24"/>
              </w:rPr>
              <w:t xml:space="preserve"> the resources, time and labour that has gone into growing and processing the food.</w:t>
            </w:r>
          </w:p>
          <w:p w14:paraId="0DF8B8BE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D41955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C9037" w14:textId="77777777" w:rsidR="00DE7640" w:rsidRPr="00DE7640" w:rsidRDefault="00DE7640" w:rsidP="00166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64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14:paraId="46002D38" w14:textId="77777777" w:rsidR="00DE7640" w:rsidRPr="00DE7640" w:rsidRDefault="00DE7640" w:rsidP="00DE7640">
      <w:pPr>
        <w:rPr>
          <w:rFonts w:asciiTheme="minorHAnsi" w:hAnsiTheme="minorHAnsi" w:cstheme="minorHAnsi"/>
          <w:b/>
          <w:bCs/>
          <w:sz w:val="32"/>
          <w:szCs w:val="32"/>
        </w:rPr>
      </w:pPr>
    </w:p>
    <w:sectPr w:rsidR="00DE7640" w:rsidRPr="00DE7640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40"/>
    <w:rsid w:val="008207C9"/>
    <w:rsid w:val="008D7770"/>
    <w:rsid w:val="00D24BFE"/>
    <w:rsid w:val="00DE7640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BE29E"/>
  <w15:chartTrackingRefBased/>
  <w15:docId w15:val="{FE34C508-A932-A246-9510-DC0797DD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4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64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E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2023-08-15T12:11:00Z</dcterms:created>
  <dcterms:modified xsi:type="dcterms:W3CDTF">2023-08-15T12:18:00Z</dcterms:modified>
</cp:coreProperties>
</file>